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8DD10" w14:textId="77777777" w:rsidR="00A303E7" w:rsidRDefault="00000000">
      <w:pPr>
        <w:rPr>
          <w:b/>
          <w:bCs/>
        </w:rPr>
      </w:pPr>
      <w:r>
        <w:rPr>
          <w:rFonts w:hint="eastAsia"/>
          <w:b/>
          <w:bCs/>
        </w:rPr>
        <w:t>Supplementary File 2. Scoring and Coding Materials</w:t>
      </w:r>
    </w:p>
    <w:p w14:paraId="7A2CBE3D" w14:textId="77777777" w:rsidR="00A303E7" w:rsidRDefault="00A303E7"/>
    <w:p w14:paraId="3588BA71" w14:textId="77777777" w:rsidR="00A303E7" w:rsidRDefault="00000000">
      <w:r>
        <w:rPr>
          <w:rFonts w:hint="eastAsia"/>
        </w:rPr>
        <w:t>Scoring Rubrics, Questionnaire Materials, and Coding Rules</w:t>
      </w:r>
    </w:p>
    <w:p w14:paraId="24559554" w14:textId="77777777" w:rsidR="00A303E7" w:rsidRDefault="00A303E7"/>
    <w:p w14:paraId="3DA9F7FF" w14:textId="77777777" w:rsidR="00A303E7" w:rsidRDefault="00000000">
      <w:r>
        <w:rPr>
          <w:rFonts w:hint="eastAsia"/>
        </w:rPr>
        <w:t>Oral Discourse Completion Task Scoring Rubric</w:t>
      </w:r>
    </w:p>
    <w:p w14:paraId="74A48069" w14:textId="77777777" w:rsidR="00A303E7" w:rsidRDefault="00A303E7"/>
    <w:p w14:paraId="7557D58D" w14:textId="77777777" w:rsidR="00A303E7" w:rsidRDefault="00000000">
      <w:r>
        <w:rPr>
          <w:rFonts w:hint="eastAsia"/>
        </w:rPr>
        <w:t>The oral discourse completion task was scored on a 0</w:t>
      </w:r>
      <w:r>
        <w:rPr>
          <w:rFonts w:hint="eastAsia"/>
        </w:rPr>
        <w:t>–</w:t>
      </w:r>
      <w:r>
        <w:rPr>
          <w:rFonts w:hint="eastAsia"/>
        </w:rPr>
        <w:t>25 composite scale.</w:t>
      </w:r>
    </w:p>
    <w:p w14:paraId="0F844378" w14:textId="77777777" w:rsidR="00A303E7" w:rsidRDefault="00A303E7"/>
    <w:tbl>
      <w:tblPr>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2635"/>
        <w:gridCol w:w="1393"/>
        <w:gridCol w:w="4494"/>
      </w:tblGrid>
      <w:tr w:rsidR="00A303E7" w14:paraId="25153633" w14:textId="77777777">
        <w:trPr>
          <w:tblHeader/>
          <w:jc w:val="center"/>
        </w:trPr>
        <w:tc>
          <w:tcPr>
            <w:tcW w:w="2635" w:type="dxa"/>
            <w:tcBorders>
              <w:top w:val="single" w:sz="12" w:space="0" w:color="000000"/>
              <w:left w:val="nil"/>
              <w:bottom w:val="nil"/>
              <w:right w:val="nil"/>
            </w:tcBorders>
            <w:tcMar>
              <w:top w:w="120" w:type="dxa"/>
              <w:left w:w="120" w:type="dxa"/>
              <w:bottom w:w="120" w:type="dxa"/>
              <w:right w:w="120" w:type="dxa"/>
            </w:tcMar>
            <w:vAlign w:val="center"/>
          </w:tcPr>
          <w:p w14:paraId="3740BBE4" w14:textId="77777777" w:rsidR="00A303E7" w:rsidRDefault="00000000">
            <w:pPr>
              <w:snapToGrid w:val="0"/>
              <w:jc w:val="center"/>
              <w:rPr>
                <w:rFonts w:ascii="SimSun" w:eastAsia="SimSun" w:hAnsi="SimSun" w:cs="SimSun"/>
                <w:b/>
              </w:rPr>
            </w:pPr>
            <w:r>
              <w:rPr>
                <w:rFonts w:ascii="SimSun" w:eastAsia="SimSun" w:hAnsi="SimSun" w:cs="SimSun" w:hint="eastAsia"/>
                <w:b/>
              </w:rPr>
              <w:t>Domain</w:t>
            </w:r>
          </w:p>
        </w:tc>
        <w:tc>
          <w:tcPr>
            <w:tcW w:w="1393" w:type="dxa"/>
            <w:tcBorders>
              <w:top w:val="single" w:sz="12" w:space="0" w:color="000000"/>
              <w:left w:val="nil"/>
              <w:bottom w:val="nil"/>
              <w:right w:val="nil"/>
            </w:tcBorders>
            <w:tcMar>
              <w:top w:w="120" w:type="dxa"/>
              <w:left w:w="120" w:type="dxa"/>
              <w:bottom w:w="120" w:type="dxa"/>
              <w:right w:w="120" w:type="dxa"/>
            </w:tcMar>
            <w:vAlign w:val="center"/>
          </w:tcPr>
          <w:p w14:paraId="37532123" w14:textId="77777777" w:rsidR="00A303E7" w:rsidRDefault="00000000">
            <w:pPr>
              <w:snapToGrid w:val="0"/>
              <w:jc w:val="center"/>
              <w:rPr>
                <w:rFonts w:ascii="SimSun" w:eastAsia="SimSun" w:hAnsi="SimSun" w:cs="SimSun"/>
                <w:b/>
              </w:rPr>
            </w:pPr>
            <w:r>
              <w:rPr>
                <w:rFonts w:ascii="SimSun" w:eastAsia="SimSun" w:hAnsi="SimSun" w:cs="SimSun" w:hint="eastAsia"/>
                <w:b/>
              </w:rPr>
              <w:t>Score Range</w:t>
            </w:r>
          </w:p>
        </w:tc>
        <w:tc>
          <w:tcPr>
            <w:tcW w:w="4494" w:type="dxa"/>
            <w:tcBorders>
              <w:top w:val="single" w:sz="12" w:space="0" w:color="000000"/>
              <w:left w:val="nil"/>
              <w:bottom w:val="nil"/>
              <w:right w:val="nil"/>
            </w:tcBorders>
            <w:tcMar>
              <w:top w:w="120" w:type="dxa"/>
              <w:left w:w="120" w:type="dxa"/>
              <w:bottom w:w="120" w:type="dxa"/>
              <w:right w:w="120" w:type="dxa"/>
            </w:tcMar>
            <w:vAlign w:val="center"/>
          </w:tcPr>
          <w:p w14:paraId="528DEEE3" w14:textId="77777777" w:rsidR="00A303E7" w:rsidRDefault="00000000">
            <w:pPr>
              <w:snapToGrid w:val="0"/>
              <w:jc w:val="center"/>
              <w:rPr>
                <w:rFonts w:ascii="SimSun" w:eastAsia="SimSun" w:hAnsi="SimSun" w:cs="SimSun"/>
                <w:b/>
              </w:rPr>
            </w:pPr>
            <w:r>
              <w:rPr>
                <w:rFonts w:ascii="SimSun" w:eastAsia="SimSun" w:hAnsi="SimSun" w:cs="SimSun" w:hint="eastAsia"/>
                <w:b/>
              </w:rPr>
              <w:t>Scoring Focus</w:t>
            </w:r>
          </w:p>
        </w:tc>
      </w:tr>
      <w:tr w:rsidR="00A303E7" w14:paraId="34AFC050" w14:textId="77777777">
        <w:trPr>
          <w:jc w:val="center"/>
        </w:trPr>
        <w:tc>
          <w:tcPr>
            <w:tcW w:w="2635" w:type="dxa"/>
            <w:tcBorders>
              <w:top w:val="single" w:sz="4" w:space="0" w:color="000000"/>
              <w:left w:val="nil"/>
              <w:bottom w:val="nil"/>
              <w:right w:val="nil"/>
            </w:tcBorders>
            <w:tcMar>
              <w:top w:w="120" w:type="dxa"/>
              <w:left w:w="120" w:type="dxa"/>
              <w:bottom w:w="120" w:type="dxa"/>
              <w:right w:w="120" w:type="dxa"/>
            </w:tcMar>
            <w:vAlign w:val="center"/>
          </w:tcPr>
          <w:p w14:paraId="2B409453" w14:textId="77777777" w:rsidR="00A303E7" w:rsidRDefault="00000000">
            <w:pPr>
              <w:snapToGrid w:val="0"/>
              <w:jc w:val="center"/>
              <w:rPr>
                <w:rFonts w:ascii="SimSun" w:eastAsia="SimSun" w:hAnsi="SimSun" w:cs="SimSun"/>
              </w:rPr>
            </w:pPr>
            <w:r>
              <w:rPr>
                <w:rFonts w:ascii="SimSun" w:eastAsia="SimSun" w:hAnsi="SimSun" w:cs="SimSun" w:hint="eastAsia"/>
              </w:rPr>
              <w:t>Pragmatic appropriateness</w:t>
            </w:r>
          </w:p>
        </w:tc>
        <w:tc>
          <w:tcPr>
            <w:tcW w:w="1393" w:type="dxa"/>
            <w:tcBorders>
              <w:top w:val="single" w:sz="4" w:space="0" w:color="000000"/>
              <w:left w:val="nil"/>
              <w:bottom w:val="nil"/>
              <w:right w:val="nil"/>
            </w:tcBorders>
            <w:tcMar>
              <w:top w:w="120" w:type="dxa"/>
              <w:left w:w="120" w:type="dxa"/>
              <w:bottom w:w="120" w:type="dxa"/>
              <w:right w:w="120" w:type="dxa"/>
            </w:tcMar>
            <w:vAlign w:val="center"/>
          </w:tcPr>
          <w:p w14:paraId="3642DB4F" w14:textId="77777777" w:rsidR="00A303E7" w:rsidRDefault="00000000">
            <w:pPr>
              <w:snapToGrid w:val="0"/>
              <w:jc w:val="left"/>
              <w:rPr>
                <w:rFonts w:ascii="SimSun" w:eastAsia="SimSun" w:hAnsi="SimSun" w:cs="SimSun"/>
              </w:rPr>
            </w:pPr>
            <w:r>
              <w:rPr>
                <w:rFonts w:ascii="SimSun" w:eastAsia="SimSun" w:hAnsi="SimSun" w:cs="SimSun" w:hint="eastAsia"/>
              </w:rPr>
              <w:t>0–10</w:t>
            </w:r>
          </w:p>
        </w:tc>
        <w:tc>
          <w:tcPr>
            <w:tcW w:w="4494" w:type="dxa"/>
            <w:tcBorders>
              <w:top w:val="single" w:sz="4" w:space="0" w:color="000000"/>
              <w:left w:val="nil"/>
              <w:bottom w:val="nil"/>
              <w:right w:val="nil"/>
            </w:tcBorders>
            <w:tcMar>
              <w:top w:w="120" w:type="dxa"/>
              <w:left w:w="120" w:type="dxa"/>
              <w:bottom w:w="120" w:type="dxa"/>
              <w:right w:w="120" w:type="dxa"/>
            </w:tcMar>
            <w:vAlign w:val="center"/>
          </w:tcPr>
          <w:p w14:paraId="5F00DA1A" w14:textId="77777777" w:rsidR="00A303E7" w:rsidRDefault="00000000">
            <w:pPr>
              <w:snapToGrid w:val="0"/>
              <w:jc w:val="center"/>
              <w:rPr>
                <w:rFonts w:ascii="SimSun" w:eastAsia="SimSun" w:hAnsi="SimSun" w:cs="SimSun"/>
              </w:rPr>
            </w:pPr>
            <w:r>
              <w:rPr>
                <w:rFonts w:ascii="SimSun" w:eastAsia="SimSun" w:hAnsi="SimSun" w:cs="SimSun" w:hint="eastAsia"/>
              </w:rPr>
              <w:t>Fit between the response and the social situation</w:t>
            </w:r>
          </w:p>
        </w:tc>
      </w:tr>
      <w:tr w:rsidR="00A303E7" w14:paraId="53F4B184" w14:textId="77777777">
        <w:trPr>
          <w:jc w:val="center"/>
        </w:trPr>
        <w:tc>
          <w:tcPr>
            <w:tcW w:w="2635" w:type="dxa"/>
            <w:tcBorders>
              <w:top w:val="nil"/>
              <w:left w:val="nil"/>
              <w:bottom w:val="nil"/>
              <w:right w:val="nil"/>
            </w:tcBorders>
            <w:tcMar>
              <w:top w:w="120" w:type="dxa"/>
              <w:left w:w="120" w:type="dxa"/>
              <w:bottom w:w="120" w:type="dxa"/>
              <w:right w:w="120" w:type="dxa"/>
            </w:tcMar>
            <w:vAlign w:val="center"/>
          </w:tcPr>
          <w:p w14:paraId="6612DD4E" w14:textId="77777777" w:rsidR="00A303E7" w:rsidRDefault="00000000">
            <w:pPr>
              <w:snapToGrid w:val="0"/>
              <w:jc w:val="center"/>
              <w:rPr>
                <w:rFonts w:ascii="SimSun" w:eastAsia="SimSun" w:hAnsi="SimSun" w:cs="SimSun"/>
              </w:rPr>
            </w:pPr>
            <w:r>
              <w:rPr>
                <w:rFonts w:ascii="SimSun" w:eastAsia="SimSun" w:hAnsi="SimSun" w:cs="SimSun" w:hint="eastAsia"/>
              </w:rPr>
              <w:t>Sociocultural alignment</w:t>
            </w:r>
          </w:p>
        </w:tc>
        <w:tc>
          <w:tcPr>
            <w:tcW w:w="1393" w:type="dxa"/>
            <w:tcBorders>
              <w:top w:val="nil"/>
              <w:left w:val="nil"/>
              <w:bottom w:val="nil"/>
              <w:right w:val="nil"/>
            </w:tcBorders>
            <w:tcMar>
              <w:top w:w="120" w:type="dxa"/>
              <w:left w:w="120" w:type="dxa"/>
              <w:bottom w:w="120" w:type="dxa"/>
              <w:right w:w="120" w:type="dxa"/>
            </w:tcMar>
            <w:vAlign w:val="center"/>
          </w:tcPr>
          <w:p w14:paraId="2781BA43" w14:textId="77777777" w:rsidR="00A303E7" w:rsidRDefault="00000000">
            <w:pPr>
              <w:snapToGrid w:val="0"/>
              <w:jc w:val="left"/>
              <w:rPr>
                <w:rFonts w:ascii="SimSun" w:eastAsia="SimSun" w:hAnsi="SimSun" w:cs="SimSun"/>
              </w:rPr>
            </w:pPr>
            <w:r>
              <w:rPr>
                <w:rFonts w:ascii="SimSun" w:eastAsia="SimSun" w:hAnsi="SimSun" w:cs="SimSun" w:hint="eastAsia"/>
              </w:rPr>
              <w:t>0–5</w:t>
            </w:r>
          </w:p>
        </w:tc>
        <w:tc>
          <w:tcPr>
            <w:tcW w:w="4494" w:type="dxa"/>
            <w:tcBorders>
              <w:top w:val="nil"/>
              <w:left w:val="nil"/>
              <w:bottom w:val="nil"/>
              <w:right w:val="nil"/>
            </w:tcBorders>
            <w:tcMar>
              <w:top w:w="120" w:type="dxa"/>
              <w:left w:w="120" w:type="dxa"/>
              <w:bottom w:w="120" w:type="dxa"/>
              <w:right w:w="120" w:type="dxa"/>
            </w:tcMar>
            <w:vAlign w:val="center"/>
          </w:tcPr>
          <w:p w14:paraId="5C0BC07B" w14:textId="77777777" w:rsidR="00A303E7" w:rsidRDefault="00000000">
            <w:pPr>
              <w:snapToGrid w:val="0"/>
              <w:jc w:val="center"/>
              <w:rPr>
                <w:rFonts w:ascii="SimSun" w:eastAsia="SimSun" w:hAnsi="SimSun" w:cs="SimSun"/>
              </w:rPr>
            </w:pPr>
            <w:r>
              <w:rPr>
                <w:rFonts w:ascii="SimSun" w:eastAsia="SimSun" w:hAnsi="SimSun" w:cs="SimSun" w:hint="eastAsia"/>
              </w:rPr>
              <w:t>Politeness, relational awareness, face sensitivity</w:t>
            </w:r>
          </w:p>
        </w:tc>
      </w:tr>
      <w:tr w:rsidR="00A303E7" w14:paraId="76402975" w14:textId="77777777">
        <w:trPr>
          <w:jc w:val="center"/>
        </w:trPr>
        <w:tc>
          <w:tcPr>
            <w:tcW w:w="2635" w:type="dxa"/>
            <w:tcBorders>
              <w:top w:val="nil"/>
              <w:left w:val="nil"/>
              <w:bottom w:val="nil"/>
              <w:right w:val="nil"/>
            </w:tcBorders>
            <w:tcMar>
              <w:top w:w="120" w:type="dxa"/>
              <w:left w:w="120" w:type="dxa"/>
              <w:bottom w:w="120" w:type="dxa"/>
              <w:right w:w="120" w:type="dxa"/>
            </w:tcMar>
            <w:vAlign w:val="center"/>
          </w:tcPr>
          <w:p w14:paraId="312217E2" w14:textId="77777777" w:rsidR="00A303E7" w:rsidRDefault="00000000">
            <w:pPr>
              <w:snapToGrid w:val="0"/>
              <w:jc w:val="center"/>
              <w:rPr>
                <w:rFonts w:ascii="SimSun" w:eastAsia="SimSun" w:hAnsi="SimSun" w:cs="SimSun"/>
              </w:rPr>
            </w:pPr>
            <w:r>
              <w:rPr>
                <w:rFonts w:ascii="SimSun" w:eastAsia="SimSun" w:hAnsi="SimSun" w:cs="SimSun" w:hint="eastAsia"/>
              </w:rPr>
              <w:t>Discourse completeness</w:t>
            </w:r>
          </w:p>
        </w:tc>
        <w:tc>
          <w:tcPr>
            <w:tcW w:w="1393" w:type="dxa"/>
            <w:tcBorders>
              <w:top w:val="nil"/>
              <w:left w:val="nil"/>
              <w:bottom w:val="nil"/>
              <w:right w:val="nil"/>
            </w:tcBorders>
            <w:tcMar>
              <w:top w:w="120" w:type="dxa"/>
              <w:left w:w="120" w:type="dxa"/>
              <w:bottom w:w="120" w:type="dxa"/>
              <w:right w:w="120" w:type="dxa"/>
            </w:tcMar>
            <w:vAlign w:val="center"/>
          </w:tcPr>
          <w:p w14:paraId="5293FAAC" w14:textId="77777777" w:rsidR="00A303E7" w:rsidRDefault="00000000">
            <w:pPr>
              <w:snapToGrid w:val="0"/>
              <w:jc w:val="left"/>
              <w:rPr>
                <w:rFonts w:ascii="SimSun" w:eastAsia="SimSun" w:hAnsi="SimSun" w:cs="SimSun"/>
              </w:rPr>
            </w:pPr>
            <w:r>
              <w:rPr>
                <w:rFonts w:ascii="SimSun" w:eastAsia="SimSun" w:hAnsi="SimSun" w:cs="SimSun" w:hint="eastAsia"/>
              </w:rPr>
              <w:t>0–5</w:t>
            </w:r>
          </w:p>
        </w:tc>
        <w:tc>
          <w:tcPr>
            <w:tcW w:w="4494" w:type="dxa"/>
            <w:tcBorders>
              <w:top w:val="nil"/>
              <w:left w:val="nil"/>
              <w:bottom w:val="nil"/>
              <w:right w:val="nil"/>
            </w:tcBorders>
            <w:tcMar>
              <w:top w:w="120" w:type="dxa"/>
              <w:left w:w="120" w:type="dxa"/>
              <w:bottom w:w="120" w:type="dxa"/>
              <w:right w:w="120" w:type="dxa"/>
            </w:tcMar>
            <w:vAlign w:val="center"/>
          </w:tcPr>
          <w:p w14:paraId="3B678B23" w14:textId="77777777" w:rsidR="00A303E7" w:rsidRDefault="00000000">
            <w:pPr>
              <w:snapToGrid w:val="0"/>
              <w:jc w:val="center"/>
              <w:rPr>
                <w:rFonts w:ascii="SimSun" w:eastAsia="SimSun" w:hAnsi="SimSun" w:cs="SimSun"/>
              </w:rPr>
            </w:pPr>
            <w:r>
              <w:rPr>
                <w:rFonts w:ascii="SimSun" w:eastAsia="SimSun" w:hAnsi="SimSun" w:cs="SimSun" w:hint="eastAsia"/>
              </w:rPr>
              <w:t>Clarity, coherence, adequacy of response</w:t>
            </w:r>
          </w:p>
        </w:tc>
      </w:tr>
      <w:tr w:rsidR="00A303E7" w14:paraId="4869138B" w14:textId="77777777">
        <w:trPr>
          <w:jc w:val="center"/>
        </w:trPr>
        <w:tc>
          <w:tcPr>
            <w:tcW w:w="2635" w:type="dxa"/>
            <w:tcBorders>
              <w:top w:val="nil"/>
              <w:left w:val="nil"/>
              <w:bottom w:val="single" w:sz="12" w:space="0" w:color="000000"/>
              <w:right w:val="nil"/>
            </w:tcBorders>
            <w:tcMar>
              <w:top w:w="120" w:type="dxa"/>
              <w:left w:w="120" w:type="dxa"/>
              <w:bottom w:w="120" w:type="dxa"/>
              <w:right w:w="120" w:type="dxa"/>
            </w:tcMar>
            <w:vAlign w:val="center"/>
          </w:tcPr>
          <w:p w14:paraId="38734110" w14:textId="77777777" w:rsidR="00A303E7" w:rsidRDefault="00000000">
            <w:pPr>
              <w:snapToGrid w:val="0"/>
              <w:jc w:val="center"/>
              <w:rPr>
                <w:rFonts w:ascii="SimSun" w:eastAsia="SimSun" w:hAnsi="SimSun" w:cs="SimSun"/>
              </w:rPr>
            </w:pPr>
            <w:r>
              <w:rPr>
                <w:rFonts w:ascii="SimSun" w:eastAsia="SimSun" w:hAnsi="SimSun" w:cs="SimSun" w:hint="eastAsia"/>
              </w:rPr>
              <w:t>Linguistic control</w:t>
            </w:r>
          </w:p>
        </w:tc>
        <w:tc>
          <w:tcPr>
            <w:tcW w:w="1393" w:type="dxa"/>
            <w:tcBorders>
              <w:top w:val="nil"/>
              <w:left w:val="nil"/>
              <w:bottom w:val="single" w:sz="12" w:space="0" w:color="000000"/>
              <w:right w:val="nil"/>
            </w:tcBorders>
            <w:tcMar>
              <w:top w:w="120" w:type="dxa"/>
              <w:left w:w="120" w:type="dxa"/>
              <w:bottom w:w="120" w:type="dxa"/>
              <w:right w:w="120" w:type="dxa"/>
            </w:tcMar>
            <w:vAlign w:val="center"/>
          </w:tcPr>
          <w:p w14:paraId="64C268B5" w14:textId="77777777" w:rsidR="00A303E7" w:rsidRDefault="00000000">
            <w:pPr>
              <w:snapToGrid w:val="0"/>
              <w:jc w:val="left"/>
              <w:rPr>
                <w:rFonts w:ascii="SimSun" w:eastAsia="SimSun" w:hAnsi="SimSun" w:cs="SimSun"/>
              </w:rPr>
            </w:pPr>
            <w:r>
              <w:rPr>
                <w:rFonts w:ascii="SimSun" w:eastAsia="SimSun" w:hAnsi="SimSun" w:cs="SimSun" w:hint="eastAsia"/>
              </w:rPr>
              <w:t>0–5</w:t>
            </w:r>
          </w:p>
        </w:tc>
        <w:tc>
          <w:tcPr>
            <w:tcW w:w="4494" w:type="dxa"/>
            <w:tcBorders>
              <w:top w:val="nil"/>
              <w:left w:val="nil"/>
              <w:bottom w:val="single" w:sz="12" w:space="0" w:color="000000"/>
              <w:right w:val="nil"/>
            </w:tcBorders>
            <w:tcMar>
              <w:top w:w="120" w:type="dxa"/>
              <w:left w:w="120" w:type="dxa"/>
              <w:bottom w:w="120" w:type="dxa"/>
              <w:right w:w="120" w:type="dxa"/>
            </w:tcMar>
            <w:vAlign w:val="center"/>
          </w:tcPr>
          <w:p w14:paraId="7D11489E" w14:textId="77777777" w:rsidR="00A303E7" w:rsidRDefault="00000000">
            <w:pPr>
              <w:snapToGrid w:val="0"/>
              <w:jc w:val="center"/>
              <w:rPr>
                <w:rFonts w:ascii="SimSun" w:eastAsia="SimSun" w:hAnsi="SimSun" w:cs="SimSun"/>
              </w:rPr>
            </w:pPr>
            <w:r>
              <w:rPr>
                <w:rFonts w:ascii="SimSun" w:eastAsia="SimSun" w:hAnsi="SimSun" w:cs="SimSun" w:hint="eastAsia"/>
              </w:rPr>
              <w:t>Grammar, vocabulary, and formulation control</w:t>
            </w:r>
          </w:p>
        </w:tc>
      </w:tr>
    </w:tbl>
    <w:p w14:paraId="24ED6120" w14:textId="77777777" w:rsidR="00A303E7" w:rsidRDefault="00A303E7"/>
    <w:p w14:paraId="716E4D62" w14:textId="77777777" w:rsidR="00A303E7" w:rsidRDefault="00000000">
      <w:r>
        <w:rPr>
          <w:rFonts w:hint="eastAsia"/>
        </w:rPr>
        <w:t>General scoring principles</w:t>
      </w:r>
    </w:p>
    <w:p w14:paraId="05AA82D2" w14:textId="77777777" w:rsidR="00A303E7" w:rsidRDefault="00A303E7"/>
    <w:p w14:paraId="28D34BCB" w14:textId="77777777" w:rsidR="00A303E7" w:rsidRDefault="00000000">
      <w:r>
        <w:rPr>
          <w:rFonts w:hint="eastAsia"/>
        </w:rPr>
        <w:t>Scores were assigned holistically within each domain. High scores required both situational fit and linguistic adequacy. Responses that were grammatically acceptable but socially inappropriate did not receive high pragmatic scores.</w:t>
      </w:r>
    </w:p>
    <w:p w14:paraId="1D72665D" w14:textId="77777777" w:rsidR="00A303E7" w:rsidRDefault="00A303E7"/>
    <w:p w14:paraId="15838763" w14:textId="77777777" w:rsidR="00A303E7" w:rsidRDefault="00000000">
      <w:r>
        <w:rPr>
          <w:rFonts w:hint="eastAsia"/>
        </w:rPr>
        <w:t>Filmed Role-Play Scoring Rubric</w:t>
      </w:r>
    </w:p>
    <w:p w14:paraId="565A7BFA" w14:textId="77777777" w:rsidR="00A303E7" w:rsidRDefault="00A303E7"/>
    <w:p w14:paraId="1C69EC59" w14:textId="77777777" w:rsidR="00A303E7" w:rsidRDefault="00000000">
      <w:r>
        <w:rPr>
          <w:rFonts w:hint="eastAsia"/>
        </w:rPr>
        <w:t>The filmed role-play assessment was scored on a 0</w:t>
      </w:r>
      <w:r>
        <w:rPr>
          <w:rFonts w:hint="eastAsia"/>
        </w:rPr>
        <w:t>–</w:t>
      </w:r>
      <w:r>
        <w:rPr>
          <w:rFonts w:hint="eastAsia"/>
        </w:rPr>
        <w:t>25 composite scale.</w:t>
      </w:r>
    </w:p>
    <w:p w14:paraId="2CEF12AF" w14:textId="77777777" w:rsidR="00A303E7" w:rsidRDefault="00A303E7"/>
    <w:tbl>
      <w:tblPr>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2437"/>
        <w:gridCol w:w="1276"/>
        <w:gridCol w:w="4809"/>
      </w:tblGrid>
      <w:tr w:rsidR="00A303E7" w14:paraId="06A8632F" w14:textId="77777777">
        <w:trPr>
          <w:tblHeader/>
          <w:jc w:val="center"/>
        </w:trPr>
        <w:tc>
          <w:tcPr>
            <w:tcW w:w="2437" w:type="dxa"/>
            <w:tcBorders>
              <w:top w:val="single" w:sz="12" w:space="0" w:color="000000"/>
              <w:left w:val="nil"/>
              <w:bottom w:val="nil"/>
              <w:right w:val="nil"/>
            </w:tcBorders>
            <w:tcMar>
              <w:top w:w="120" w:type="dxa"/>
              <w:left w:w="120" w:type="dxa"/>
              <w:bottom w:w="120" w:type="dxa"/>
              <w:right w:w="120" w:type="dxa"/>
            </w:tcMar>
            <w:vAlign w:val="center"/>
          </w:tcPr>
          <w:p w14:paraId="3BC32EA3" w14:textId="77777777" w:rsidR="00A303E7" w:rsidRDefault="00000000">
            <w:pPr>
              <w:snapToGrid w:val="0"/>
              <w:jc w:val="center"/>
              <w:rPr>
                <w:rFonts w:ascii="Calibri" w:hAnsi="Calibri" w:cs="Calibri"/>
                <w:b/>
              </w:rPr>
            </w:pPr>
            <w:r>
              <w:rPr>
                <w:rFonts w:ascii="Calibri" w:hAnsi="Calibri" w:cs="Calibri"/>
                <w:b/>
              </w:rPr>
              <w:t>Domain</w:t>
            </w:r>
          </w:p>
        </w:tc>
        <w:tc>
          <w:tcPr>
            <w:tcW w:w="1276" w:type="dxa"/>
            <w:tcBorders>
              <w:top w:val="single" w:sz="12" w:space="0" w:color="000000"/>
              <w:left w:val="nil"/>
              <w:bottom w:val="nil"/>
              <w:right w:val="nil"/>
            </w:tcBorders>
            <w:tcMar>
              <w:top w:w="120" w:type="dxa"/>
              <w:left w:w="120" w:type="dxa"/>
              <w:bottom w:w="120" w:type="dxa"/>
              <w:right w:w="120" w:type="dxa"/>
            </w:tcMar>
            <w:vAlign w:val="center"/>
          </w:tcPr>
          <w:p w14:paraId="5B722BA0" w14:textId="77777777" w:rsidR="00A303E7" w:rsidRDefault="00000000">
            <w:pPr>
              <w:snapToGrid w:val="0"/>
              <w:jc w:val="center"/>
              <w:rPr>
                <w:rFonts w:ascii="Calibri" w:hAnsi="Calibri" w:cs="Calibri"/>
                <w:b/>
              </w:rPr>
            </w:pPr>
            <w:r>
              <w:rPr>
                <w:rFonts w:ascii="Calibri" w:hAnsi="Calibri" w:cs="Calibri"/>
                <w:b/>
              </w:rPr>
              <w:t>Score Range</w:t>
            </w:r>
          </w:p>
        </w:tc>
        <w:tc>
          <w:tcPr>
            <w:tcW w:w="4809" w:type="dxa"/>
            <w:tcBorders>
              <w:top w:val="single" w:sz="12" w:space="0" w:color="000000"/>
              <w:left w:val="nil"/>
              <w:bottom w:val="nil"/>
              <w:right w:val="nil"/>
            </w:tcBorders>
            <w:tcMar>
              <w:top w:w="120" w:type="dxa"/>
              <w:left w:w="120" w:type="dxa"/>
              <w:bottom w:w="120" w:type="dxa"/>
              <w:right w:w="120" w:type="dxa"/>
            </w:tcMar>
            <w:vAlign w:val="center"/>
          </w:tcPr>
          <w:p w14:paraId="283BF996" w14:textId="77777777" w:rsidR="00A303E7" w:rsidRDefault="00000000">
            <w:pPr>
              <w:snapToGrid w:val="0"/>
              <w:jc w:val="center"/>
              <w:rPr>
                <w:rFonts w:ascii="Calibri" w:hAnsi="Calibri" w:cs="Calibri"/>
                <w:b/>
              </w:rPr>
            </w:pPr>
            <w:r>
              <w:rPr>
                <w:rFonts w:ascii="Calibri" w:hAnsi="Calibri" w:cs="Calibri"/>
                <w:b/>
              </w:rPr>
              <w:t>Scoring Focus</w:t>
            </w:r>
          </w:p>
        </w:tc>
      </w:tr>
      <w:tr w:rsidR="00A303E7" w14:paraId="2F1DCBA3" w14:textId="77777777">
        <w:trPr>
          <w:jc w:val="center"/>
        </w:trPr>
        <w:tc>
          <w:tcPr>
            <w:tcW w:w="2437" w:type="dxa"/>
            <w:tcBorders>
              <w:top w:val="single" w:sz="4" w:space="0" w:color="000000"/>
              <w:left w:val="nil"/>
              <w:bottom w:val="nil"/>
              <w:right w:val="nil"/>
            </w:tcBorders>
            <w:tcMar>
              <w:top w:w="120" w:type="dxa"/>
              <w:left w:w="120" w:type="dxa"/>
              <w:bottom w:w="120" w:type="dxa"/>
              <w:right w:w="120" w:type="dxa"/>
            </w:tcMar>
            <w:vAlign w:val="center"/>
          </w:tcPr>
          <w:p w14:paraId="5A74F73C" w14:textId="77777777" w:rsidR="00A303E7" w:rsidRDefault="00000000">
            <w:pPr>
              <w:snapToGrid w:val="0"/>
              <w:jc w:val="center"/>
              <w:rPr>
                <w:rFonts w:ascii="Calibri" w:hAnsi="Calibri" w:cs="Calibri"/>
              </w:rPr>
            </w:pPr>
            <w:r>
              <w:rPr>
                <w:rFonts w:ascii="Calibri" w:hAnsi="Calibri" w:cs="Calibri"/>
              </w:rPr>
              <w:t>Interactional appropriateness</w:t>
            </w:r>
          </w:p>
        </w:tc>
        <w:tc>
          <w:tcPr>
            <w:tcW w:w="1276" w:type="dxa"/>
            <w:tcBorders>
              <w:top w:val="single" w:sz="4" w:space="0" w:color="000000"/>
              <w:left w:val="nil"/>
              <w:bottom w:val="nil"/>
              <w:right w:val="nil"/>
            </w:tcBorders>
            <w:tcMar>
              <w:top w:w="120" w:type="dxa"/>
              <w:left w:w="120" w:type="dxa"/>
              <w:bottom w:w="120" w:type="dxa"/>
              <w:right w:w="120" w:type="dxa"/>
            </w:tcMar>
            <w:vAlign w:val="center"/>
          </w:tcPr>
          <w:p w14:paraId="6E081062" w14:textId="77777777" w:rsidR="00A303E7" w:rsidRDefault="00000000">
            <w:pPr>
              <w:snapToGrid w:val="0"/>
              <w:jc w:val="left"/>
              <w:rPr>
                <w:rFonts w:ascii="Calibri" w:hAnsi="Calibri" w:cs="Calibri"/>
              </w:rPr>
            </w:pPr>
            <w:r>
              <w:rPr>
                <w:rFonts w:ascii="Calibri" w:hAnsi="Calibri" w:cs="Calibri"/>
              </w:rPr>
              <w:t>0–10</w:t>
            </w:r>
          </w:p>
        </w:tc>
        <w:tc>
          <w:tcPr>
            <w:tcW w:w="4809" w:type="dxa"/>
            <w:tcBorders>
              <w:top w:val="single" w:sz="4" w:space="0" w:color="000000"/>
              <w:left w:val="nil"/>
              <w:bottom w:val="nil"/>
              <w:right w:val="nil"/>
            </w:tcBorders>
            <w:tcMar>
              <w:top w:w="120" w:type="dxa"/>
              <w:left w:w="120" w:type="dxa"/>
              <w:bottom w:w="120" w:type="dxa"/>
              <w:right w:w="120" w:type="dxa"/>
            </w:tcMar>
            <w:vAlign w:val="center"/>
          </w:tcPr>
          <w:p w14:paraId="0A829C36" w14:textId="77777777" w:rsidR="00A303E7" w:rsidRDefault="00000000">
            <w:pPr>
              <w:snapToGrid w:val="0"/>
              <w:jc w:val="center"/>
              <w:rPr>
                <w:rFonts w:ascii="Calibri" w:hAnsi="Calibri" w:cs="Calibri"/>
              </w:rPr>
            </w:pPr>
            <w:r>
              <w:rPr>
                <w:rFonts w:ascii="Calibri" w:hAnsi="Calibri" w:cs="Calibri"/>
              </w:rPr>
              <w:t>Overall fit between the response and the social demands of the interaction</w:t>
            </w:r>
          </w:p>
        </w:tc>
      </w:tr>
      <w:tr w:rsidR="00A303E7" w14:paraId="41B54458" w14:textId="77777777">
        <w:trPr>
          <w:jc w:val="center"/>
        </w:trPr>
        <w:tc>
          <w:tcPr>
            <w:tcW w:w="2437" w:type="dxa"/>
            <w:tcBorders>
              <w:top w:val="nil"/>
              <w:left w:val="nil"/>
              <w:bottom w:val="nil"/>
              <w:right w:val="nil"/>
            </w:tcBorders>
            <w:tcMar>
              <w:top w:w="120" w:type="dxa"/>
              <w:left w:w="120" w:type="dxa"/>
              <w:bottom w:w="120" w:type="dxa"/>
              <w:right w:w="120" w:type="dxa"/>
            </w:tcMar>
            <w:vAlign w:val="center"/>
          </w:tcPr>
          <w:p w14:paraId="1784CEC3" w14:textId="77777777" w:rsidR="00A303E7" w:rsidRDefault="00000000">
            <w:pPr>
              <w:snapToGrid w:val="0"/>
              <w:jc w:val="center"/>
              <w:rPr>
                <w:rFonts w:ascii="Calibri" w:hAnsi="Calibri" w:cs="Calibri"/>
              </w:rPr>
            </w:pPr>
            <w:r>
              <w:rPr>
                <w:rFonts w:ascii="Calibri" w:hAnsi="Calibri" w:cs="Calibri"/>
              </w:rPr>
              <w:t>Responsiveness and repair</w:t>
            </w:r>
          </w:p>
        </w:tc>
        <w:tc>
          <w:tcPr>
            <w:tcW w:w="1276" w:type="dxa"/>
            <w:tcBorders>
              <w:top w:val="nil"/>
              <w:left w:val="nil"/>
              <w:bottom w:val="nil"/>
              <w:right w:val="nil"/>
            </w:tcBorders>
            <w:tcMar>
              <w:top w:w="120" w:type="dxa"/>
              <w:left w:w="120" w:type="dxa"/>
              <w:bottom w:w="120" w:type="dxa"/>
              <w:right w:w="120" w:type="dxa"/>
            </w:tcMar>
            <w:vAlign w:val="center"/>
          </w:tcPr>
          <w:p w14:paraId="10A5548A" w14:textId="77777777" w:rsidR="00A303E7" w:rsidRDefault="00000000">
            <w:pPr>
              <w:snapToGrid w:val="0"/>
              <w:jc w:val="left"/>
              <w:rPr>
                <w:rFonts w:ascii="Calibri" w:hAnsi="Calibri" w:cs="Calibri"/>
              </w:rPr>
            </w:pPr>
            <w:r>
              <w:rPr>
                <w:rFonts w:ascii="Calibri" w:hAnsi="Calibri" w:cs="Calibri"/>
              </w:rPr>
              <w:t>0–5</w:t>
            </w:r>
          </w:p>
        </w:tc>
        <w:tc>
          <w:tcPr>
            <w:tcW w:w="4809" w:type="dxa"/>
            <w:tcBorders>
              <w:top w:val="nil"/>
              <w:left w:val="nil"/>
              <w:bottom w:val="nil"/>
              <w:right w:val="nil"/>
            </w:tcBorders>
            <w:tcMar>
              <w:top w:w="120" w:type="dxa"/>
              <w:left w:w="120" w:type="dxa"/>
              <w:bottom w:w="120" w:type="dxa"/>
              <w:right w:w="120" w:type="dxa"/>
            </w:tcMar>
            <w:vAlign w:val="center"/>
          </w:tcPr>
          <w:p w14:paraId="2C1B0A33" w14:textId="77777777" w:rsidR="00A303E7" w:rsidRDefault="00000000">
            <w:pPr>
              <w:snapToGrid w:val="0"/>
              <w:jc w:val="center"/>
              <w:rPr>
                <w:rFonts w:ascii="Calibri" w:hAnsi="Calibri" w:cs="Calibri"/>
              </w:rPr>
            </w:pPr>
            <w:r>
              <w:rPr>
                <w:rFonts w:ascii="Calibri" w:hAnsi="Calibri" w:cs="Calibri"/>
              </w:rPr>
              <w:t>Ability to respond, clarify, and repair the interaction</w:t>
            </w:r>
          </w:p>
        </w:tc>
      </w:tr>
      <w:tr w:rsidR="00A303E7" w14:paraId="20FDB74A" w14:textId="77777777">
        <w:trPr>
          <w:jc w:val="center"/>
        </w:trPr>
        <w:tc>
          <w:tcPr>
            <w:tcW w:w="2437" w:type="dxa"/>
            <w:tcBorders>
              <w:top w:val="nil"/>
              <w:left w:val="nil"/>
              <w:bottom w:val="nil"/>
              <w:right w:val="nil"/>
            </w:tcBorders>
            <w:tcMar>
              <w:top w:w="120" w:type="dxa"/>
              <w:left w:w="120" w:type="dxa"/>
              <w:bottom w:w="120" w:type="dxa"/>
              <w:right w:w="120" w:type="dxa"/>
            </w:tcMar>
            <w:vAlign w:val="center"/>
          </w:tcPr>
          <w:p w14:paraId="5317F0A1" w14:textId="77777777" w:rsidR="00A303E7" w:rsidRDefault="00000000">
            <w:pPr>
              <w:snapToGrid w:val="0"/>
              <w:jc w:val="center"/>
              <w:rPr>
                <w:rFonts w:ascii="Calibri" w:hAnsi="Calibri" w:cs="Calibri"/>
              </w:rPr>
            </w:pPr>
            <w:r>
              <w:rPr>
                <w:rFonts w:ascii="Calibri" w:hAnsi="Calibri" w:cs="Calibri"/>
              </w:rPr>
              <w:t>Relational stance management</w:t>
            </w:r>
          </w:p>
        </w:tc>
        <w:tc>
          <w:tcPr>
            <w:tcW w:w="1276" w:type="dxa"/>
            <w:tcBorders>
              <w:top w:val="nil"/>
              <w:left w:val="nil"/>
              <w:bottom w:val="nil"/>
              <w:right w:val="nil"/>
            </w:tcBorders>
            <w:tcMar>
              <w:top w:w="120" w:type="dxa"/>
              <w:left w:w="120" w:type="dxa"/>
              <w:bottom w:w="120" w:type="dxa"/>
              <w:right w:w="120" w:type="dxa"/>
            </w:tcMar>
            <w:vAlign w:val="center"/>
          </w:tcPr>
          <w:p w14:paraId="6B851D19" w14:textId="77777777" w:rsidR="00A303E7" w:rsidRDefault="00000000">
            <w:pPr>
              <w:snapToGrid w:val="0"/>
              <w:jc w:val="left"/>
              <w:rPr>
                <w:rFonts w:ascii="Calibri" w:hAnsi="Calibri" w:cs="Calibri"/>
              </w:rPr>
            </w:pPr>
            <w:r>
              <w:rPr>
                <w:rFonts w:ascii="Calibri" w:hAnsi="Calibri" w:cs="Calibri"/>
              </w:rPr>
              <w:t>0–5</w:t>
            </w:r>
          </w:p>
        </w:tc>
        <w:tc>
          <w:tcPr>
            <w:tcW w:w="4809" w:type="dxa"/>
            <w:tcBorders>
              <w:top w:val="nil"/>
              <w:left w:val="nil"/>
              <w:bottom w:val="nil"/>
              <w:right w:val="nil"/>
            </w:tcBorders>
            <w:tcMar>
              <w:top w:w="120" w:type="dxa"/>
              <w:left w:w="120" w:type="dxa"/>
              <w:bottom w:w="120" w:type="dxa"/>
              <w:right w:w="120" w:type="dxa"/>
            </w:tcMar>
            <w:vAlign w:val="center"/>
          </w:tcPr>
          <w:p w14:paraId="5820193F" w14:textId="77777777" w:rsidR="00A303E7" w:rsidRDefault="00000000">
            <w:pPr>
              <w:snapToGrid w:val="0"/>
              <w:jc w:val="center"/>
              <w:rPr>
                <w:rFonts w:ascii="Calibri" w:hAnsi="Calibri" w:cs="Calibri"/>
              </w:rPr>
            </w:pPr>
            <w:r>
              <w:rPr>
                <w:rFonts w:ascii="Calibri" w:hAnsi="Calibri" w:cs="Calibri"/>
              </w:rPr>
              <w:t>Sensitivity to face, distance, and tone</w:t>
            </w:r>
          </w:p>
        </w:tc>
      </w:tr>
      <w:tr w:rsidR="00A303E7" w14:paraId="0D6715C3" w14:textId="77777777">
        <w:trPr>
          <w:jc w:val="center"/>
        </w:trPr>
        <w:tc>
          <w:tcPr>
            <w:tcW w:w="2437" w:type="dxa"/>
            <w:tcBorders>
              <w:top w:val="nil"/>
              <w:left w:val="nil"/>
              <w:bottom w:val="single" w:sz="12" w:space="0" w:color="000000"/>
              <w:right w:val="nil"/>
            </w:tcBorders>
            <w:tcMar>
              <w:top w:w="120" w:type="dxa"/>
              <w:left w:w="120" w:type="dxa"/>
              <w:bottom w:w="120" w:type="dxa"/>
              <w:right w:w="120" w:type="dxa"/>
            </w:tcMar>
            <w:vAlign w:val="center"/>
          </w:tcPr>
          <w:p w14:paraId="6CF79A74" w14:textId="77777777" w:rsidR="00A303E7" w:rsidRDefault="00000000">
            <w:pPr>
              <w:snapToGrid w:val="0"/>
              <w:jc w:val="center"/>
              <w:rPr>
                <w:rFonts w:ascii="Calibri" w:hAnsi="Calibri" w:cs="Calibri"/>
              </w:rPr>
            </w:pPr>
            <w:r>
              <w:rPr>
                <w:rFonts w:ascii="Calibri" w:hAnsi="Calibri" w:cs="Calibri"/>
              </w:rPr>
              <w:t>Linguistic control</w:t>
            </w:r>
          </w:p>
        </w:tc>
        <w:tc>
          <w:tcPr>
            <w:tcW w:w="1276" w:type="dxa"/>
            <w:tcBorders>
              <w:top w:val="nil"/>
              <w:left w:val="nil"/>
              <w:bottom w:val="single" w:sz="12" w:space="0" w:color="000000"/>
              <w:right w:val="nil"/>
            </w:tcBorders>
            <w:tcMar>
              <w:top w:w="120" w:type="dxa"/>
              <w:left w:w="120" w:type="dxa"/>
              <w:bottom w:w="120" w:type="dxa"/>
              <w:right w:w="120" w:type="dxa"/>
            </w:tcMar>
            <w:vAlign w:val="center"/>
          </w:tcPr>
          <w:p w14:paraId="3F0A151E" w14:textId="77777777" w:rsidR="00A303E7" w:rsidRDefault="00000000">
            <w:pPr>
              <w:snapToGrid w:val="0"/>
              <w:jc w:val="left"/>
              <w:rPr>
                <w:rFonts w:ascii="Calibri" w:hAnsi="Calibri" w:cs="Calibri"/>
              </w:rPr>
            </w:pPr>
            <w:r>
              <w:rPr>
                <w:rFonts w:ascii="Calibri" w:hAnsi="Calibri" w:cs="Calibri"/>
              </w:rPr>
              <w:t>0–5</w:t>
            </w:r>
          </w:p>
        </w:tc>
        <w:tc>
          <w:tcPr>
            <w:tcW w:w="4809" w:type="dxa"/>
            <w:tcBorders>
              <w:top w:val="nil"/>
              <w:left w:val="nil"/>
              <w:bottom w:val="single" w:sz="12" w:space="0" w:color="000000"/>
              <w:right w:val="nil"/>
            </w:tcBorders>
            <w:tcMar>
              <w:top w:w="120" w:type="dxa"/>
              <w:left w:w="120" w:type="dxa"/>
              <w:bottom w:w="120" w:type="dxa"/>
              <w:right w:w="120" w:type="dxa"/>
            </w:tcMar>
            <w:vAlign w:val="center"/>
          </w:tcPr>
          <w:p w14:paraId="75429281" w14:textId="77777777" w:rsidR="00A303E7" w:rsidRDefault="00000000">
            <w:pPr>
              <w:snapToGrid w:val="0"/>
              <w:jc w:val="center"/>
              <w:rPr>
                <w:rFonts w:ascii="Calibri" w:hAnsi="Calibri" w:cs="Calibri"/>
              </w:rPr>
            </w:pPr>
            <w:r>
              <w:rPr>
                <w:rFonts w:ascii="Calibri" w:hAnsi="Calibri" w:cs="Calibri"/>
              </w:rPr>
              <w:t>Accuracy and control of language during interaction</w:t>
            </w:r>
          </w:p>
        </w:tc>
      </w:tr>
    </w:tbl>
    <w:p w14:paraId="3B0BF0A2" w14:textId="77777777" w:rsidR="00A303E7" w:rsidRDefault="00A303E7"/>
    <w:p w14:paraId="29C127E7" w14:textId="77777777" w:rsidR="00A303E7" w:rsidRDefault="00000000">
      <w:r>
        <w:rPr>
          <w:rFonts w:hint="eastAsia"/>
        </w:rPr>
        <w:t>Final score rule</w:t>
      </w:r>
    </w:p>
    <w:p w14:paraId="79AD4FE0" w14:textId="77777777" w:rsidR="00A303E7" w:rsidRDefault="00A303E7"/>
    <w:p w14:paraId="40D763ED" w14:textId="77777777" w:rsidR="00A303E7" w:rsidRDefault="00000000">
      <w:r>
        <w:rPr>
          <w:rFonts w:hint="eastAsia"/>
        </w:rPr>
        <w:t>The final score was the mean of two masked raters. If the difference between the two total scores exceeded 3 points, a third masked rating was obtained, and the final score was the mean of the two closest totals.</w:t>
      </w:r>
    </w:p>
    <w:p w14:paraId="5829D31B" w14:textId="77777777" w:rsidR="00A303E7" w:rsidRDefault="00A303E7"/>
    <w:p w14:paraId="5502A78C" w14:textId="77777777" w:rsidR="00A303E7" w:rsidRDefault="00000000">
      <w:r>
        <w:rPr>
          <w:rFonts w:hint="eastAsia"/>
        </w:rPr>
        <w:t>Intercultural Sensitivity Scale Form and Scoring Rule</w:t>
      </w:r>
    </w:p>
    <w:p w14:paraId="24D23C10" w14:textId="77777777" w:rsidR="00A303E7" w:rsidRDefault="00A303E7"/>
    <w:p w14:paraId="1F2A947C" w14:textId="77777777" w:rsidR="00A303E7" w:rsidRDefault="00000000">
      <w:r>
        <w:rPr>
          <w:rFonts w:hint="eastAsia"/>
        </w:rPr>
        <w:t xml:space="preserve">The Intercultural Sensitivity Scale was administered in bilingual English-Chinese form. It contained 24 </w:t>
      </w:r>
      <w:proofErr w:type="gramStart"/>
      <w:r>
        <w:rPr>
          <w:rFonts w:hint="eastAsia"/>
        </w:rPr>
        <w:t>items,</w:t>
      </w:r>
      <w:proofErr w:type="gramEnd"/>
      <w:r>
        <w:rPr>
          <w:rFonts w:hint="eastAsia"/>
        </w:rPr>
        <w:t xml:space="preserve"> each scored from 1 to 5.</w:t>
      </w:r>
    </w:p>
    <w:p w14:paraId="140F8747" w14:textId="77777777" w:rsidR="00A303E7" w:rsidRDefault="00A303E7"/>
    <w:p w14:paraId="71113D70" w14:textId="77777777" w:rsidR="00A303E7" w:rsidRDefault="00000000">
      <w:r>
        <w:rPr>
          <w:rFonts w:hint="eastAsia"/>
        </w:rPr>
        <w:t>Response scale</w:t>
      </w:r>
    </w:p>
    <w:p w14:paraId="609918A2" w14:textId="77777777" w:rsidR="00A303E7" w:rsidRDefault="00A303E7"/>
    <w:p w14:paraId="7EBC8C94" w14:textId="77777777" w:rsidR="00A303E7" w:rsidRDefault="00000000">
      <w:r>
        <w:rPr>
          <w:rFonts w:hint="eastAsia"/>
        </w:rPr>
        <w:t>1 = Strongly disagree</w:t>
      </w:r>
    </w:p>
    <w:p w14:paraId="41494AC8" w14:textId="77777777" w:rsidR="00A303E7" w:rsidRDefault="00000000">
      <w:r>
        <w:rPr>
          <w:rFonts w:hint="eastAsia"/>
        </w:rPr>
        <w:t>2 = Disagree</w:t>
      </w:r>
    </w:p>
    <w:p w14:paraId="4A6D90B4" w14:textId="77777777" w:rsidR="00A303E7" w:rsidRDefault="00000000">
      <w:r>
        <w:rPr>
          <w:rFonts w:hint="eastAsia"/>
        </w:rPr>
        <w:t>3 = Neutral</w:t>
      </w:r>
    </w:p>
    <w:p w14:paraId="4A14D2CC" w14:textId="77777777" w:rsidR="00A303E7" w:rsidRDefault="00000000">
      <w:r>
        <w:rPr>
          <w:rFonts w:hint="eastAsia"/>
        </w:rPr>
        <w:t>4 = Agree</w:t>
      </w:r>
    </w:p>
    <w:p w14:paraId="7D5A90FA" w14:textId="77777777" w:rsidR="00A303E7" w:rsidRDefault="00000000">
      <w:r>
        <w:rPr>
          <w:rFonts w:hint="eastAsia"/>
        </w:rPr>
        <w:t>5 = Strongly agree</w:t>
      </w:r>
    </w:p>
    <w:p w14:paraId="0BD3F513" w14:textId="77777777" w:rsidR="00A303E7" w:rsidRDefault="00A303E7"/>
    <w:p w14:paraId="2C4133F8" w14:textId="77777777" w:rsidR="00A303E7" w:rsidRDefault="00000000">
      <w:r>
        <w:rPr>
          <w:rFonts w:hint="eastAsia"/>
        </w:rPr>
        <w:t>Total score range</w:t>
      </w:r>
    </w:p>
    <w:p w14:paraId="67825E2F" w14:textId="77777777" w:rsidR="00A303E7" w:rsidRDefault="00A303E7"/>
    <w:p w14:paraId="7E86BF09" w14:textId="77777777" w:rsidR="00A303E7" w:rsidRDefault="00000000">
      <w:r>
        <w:rPr>
          <w:rFonts w:hint="eastAsia"/>
        </w:rPr>
        <w:t>24</w:t>
      </w:r>
      <w:r>
        <w:rPr>
          <w:rFonts w:hint="eastAsia"/>
        </w:rPr>
        <w:t>–</w:t>
      </w:r>
      <w:r>
        <w:rPr>
          <w:rFonts w:hint="eastAsia"/>
        </w:rPr>
        <w:t>120. Higher scores indicate stronger intercultural sensitivity.</w:t>
      </w:r>
    </w:p>
    <w:p w14:paraId="0F5ABB84" w14:textId="77777777" w:rsidR="00A303E7" w:rsidRDefault="00A303E7"/>
    <w:p w14:paraId="0CC74C0B" w14:textId="77777777" w:rsidR="00A303E7" w:rsidRDefault="00000000">
      <w:r>
        <w:rPr>
          <w:rFonts w:hint="eastAsia"/>
        </w:rPr>
        <w:t>Missing-item rule</w:t>
      </w:r>
    </w:p>
    <w:p w14:paraId="161D34B3" w14:textId="77777777" w:rsidR="00A303E7" w:rsidRDefault="00A303E7"/>
    <w:p w14:paraId="6CDF5755" w14:textId="77777777" w:rsidR="00A303E7" w:rsidRDefault="00000000">
      <w:r>
        <w:rPr>
          <w:rFonts w:hint="eastAsia"/>
        </w:rPr>
        <w:t>If more than 2 items were unanswered, the total score was treated as missing. Otherwise, missing items were replaced with the respondent</w:t>
      </w:r>
      <w:r>
        <w:rPr>
          <w:rFonts w:hint="eastAsia"/>
        </w:rPr>
        <w:t>’</w:t>
      </w:r>
      <w:r>
        <w:rPr>
          <w:rFonts w:hint="eastAsia"/>
        </w:rPr>
        <w:t>s mean score on the completed items of the same scale.</w:t>
      </w:r>
    </w:p>
    <w:p w14:paraId="4E317632" w14:textId="77777777" w:rsidR="00A303E7" w:rsidRDefault="00A303E7"/>
    <w:p w14:paraId="36015D8A" w14:textId="77777777" w:rsidR="00A303E7" w:rsidRDefault="00000000">
      <w:r>
        <w:rPr>
          <w:rFonts w:hint="eastAsia"/>
        </w:rPr>
        <w:t>Short-Form Foreign Language Classroom Anxiety Scale Form and Scoring Rule</w:t>
      </w:r>
    </w:p>
    <w:p w14:paraId="1587BCBE" w14:textId="77777777" w:rsidR="00A303E7" w:rsidRDefault="00A303E7"/>
    <w:p w14:paraId="3089DEEC" w14:textId="77777777" w:rsidR="00A303E7" w:rsidRDefault="00000000">
      <w:r>
        <w:rPr>
          <w:rFonts w:hint="eastAsia"/>
        </w:rPr>
        <w:t xml:space="preserve">The short-form Foreign Language Classroom Anxiety Scale was administered in bilingual English-Chinese form. It contained 8 </w:t>
      </w:r>
      <w:proofErr w:type="gramStart"/>
      <w:r>
        <w:rPr>
          <w:rFonts w:hint="eastAsia"/>
        </w:rPr>
        <w:t>items,</w:t>
      </w:r>
      <w:proofErr w:type="gramEnd"/>
      <w:r>
        <w:rPr>
          <w:rFonts w:hint="eastAsia"/>
        </w:rPr>
        <w:t xml:space="preserve"> each scored from 1 to 5.</w:t>
      </w:r>
    </w:p>
    <w:p w14:paraId="3DD72D73" w14:textId="77777777" w:rsidR="00A303E7" w:rsidRDefault="00A303E7"/>
    <w:p w14:paraId="286959DB" w14:textId="77777777" w:rsidR="00A303E7" w:rsidRDefault="00000000">
      <w:r>
        <w:rPr>
          <w:rFonts w:hint="eastAsia"/>
        </w:rPr>
        <w:t>Response scale</w:t>
      </w:r>
    </w:p>
    <w:p w14:paraId="4426E189" w14:textId="77777777" w:rsidR="00A303E7" w:rsidRDefault="00A303E7"/>
    <w:p w14:paraId="69A8DC56" w14:textId="77777777" w:rsidR="00A303E7" w:rsidRDefault="00000000">
      <w:r>
        <w:rPr>
          <w:rFonts w:hint="eastAsia"/>
        </w:rPr>
        <w:t>1 = Strongly disagree</w:t>
      </w:r>
    </w:p>
    <w:p w14:paraId="5BAC3876" w14:textId="77777777" w:rsidR="00A303E7" w:rsidRDefault="00000000">
      <w:r>
        <w:rPr>
          <w:rFonts w:hint="eastAsia"/>
        </w:rPr>
        <w:t>2 = Disagree</w:t>
      </w:r>
    </w:p>
    <w:p w14:paraId="7644B455" w14:textId="77777777" w:rsidR="00A303E7" w:rsidRDefault="00000000">
      <w:r>
        <w:rPr>
          <w:rFonts w:hint="eastAsia"/>
        </w:rPr>
        <w:t>3 = Neutral</w:t>
      </w:r>
    </w:p>
    <w:p w14:paraId="050AA8D4" w14:textId="77777777" w:rsidR="00A303E7" w:rsidRDefault="00000000">
      <w:r>
        <w:rPr>
          <w:rFonts w:hint="eastAsia"/>
        </w:rPr>
        <w:t>4 = Agree</w:t>
      </w:r>
    </w:p>
    <w:p w14:paraId="479EDAE7" w14:textId="77777777" w:rsidR="00A303E7" w:rsidRDefault="00000000">
      <w:r>
        <w:rPr>
          <w:rFonts w:hint="eastAsia"/>
        </w:rPr>
        <w:t>5 = Strongly agree</w:t>
      </w:r>
    </w:p>
    <w:p w14:paraId="2D43233D" w14:textId="77777777" w:rsidR="00A303E7" w:rsidRDefault="00A303E7"/>
    <w:p w14:paraId="51E9BAC6" w14:textId="77777777" w:rsidR="00A303E7" w:rsidRDefault="00000000">
      <w:r>
        <w:rPr>
          <w:rFonts w:hint="eastAsia"/>
        </w:rPr>
        <w:t>Total score range</w:t>
      </w:r>
    </w:p>
    <w:p w14:paraId="548773ED" w14:textId="77777777" w:rsidR="00A303E7" w:rsidRDefault="00A303E7"/>
    <w:p w14:paraId="71B1C5C5" w14:textId="77777777" w:rsidR="00A303E7" w:rsidRDefault="00000000">
      <w:r>
        <w:rPr>
          <w:rFonts w:hint="eastAsia"/>
        </w:rPr>
        <w:t>8</w:t>
      </w:r>
      <w:r>
        <w:rPr>
          <w:rFonts w:hint="eastAsia"/>
        </w:rPr>
        <w:t>–</w:t>
      </w:r>
      <w:r>
        <w:rPr>
          <w:rFonts w:hint="eastAsia"/>
        </w:rPr>
        <w:t>40. Higher scores indicate higher speaking-related anxiety.</w:t>
      </w:r>
    </w:p>
    <w:p w14:paraId="140E3442" w14:textId="77777777" w:rsidR="00A303E7" w:rsidRDefault="00A303E7"/>
    <w:p w14:paraId="2C77BF9B" w14:textId="77777777" w:rsidR="00A303E7" w:rsidRDefault="00000000">
      <w:r>
        <w:rPr>
          <w:rFonts w:hint="eastAsia"/>
        </w:rPr>
        <w:lastRenderedPageBreak/>
        <w:t>Missing-item rule</w:t>
      </w:r>
    </w:p>
    <w:p w14:paraId="6572CEF7" w14:textId="77777777" w:rsidR="00A303E7" w:rsidRDefault="00A303E7"/>
    <w:p w14:paraId="503F6EA4" w14:textId="77777777" w:rsidR="00A303E7" w:rsidRDefault="00000000">
      <w:r>
        <w:rPr>
          <w:rFonts w:hint="eastAsia"/>
        </w:rPr>
        <w:t>If more than 1 item was unanswered, the total score was treated as missing. Otherwise, the missing item was replaced with the respondent</w:t>
      </w:r>
      <w:r>
        <w:rPr>
          <w:rFonts w:hint="eastAsia"/>
        </w:rPr>
        <w:t>’</w:t>
      </w:r>
      <w:r>
        <w:rPr>
          <w:rFonts w:hint="eastAsia"/>
        </w:rPr>
        <w:t>s mean score on the completed items of the same scale.</w:t>
      </w:r>
    </w:p>
    <w:p w14:paraId="6A0E46A1" w14:textId="77777777" w:rsidR="00A303E7" w:rsidRDefault="00A303E7"/>
    <w:p w14:paraId="055F03BB" w14:textId="77777777" w:rsidR="00A303E7" w:rsidRDefault="00000000">
      <w:r>
        <w:rPr>
          <w:rFonts w:hint="eastAsia"/>
        </w:rPr>
        <w:t>Rater Calibration Instructions</w:t>
      </w:r>
    </w:p>
    <w:p w14:paraId="218C887F" w14:textId="77777777" w:rsidR="00A303E7" w:rsidRDefault="00A303E7"/>
    <w:p w14:paraId="7A6CCF65" w14:textId="77777777" w:rsidR="00A303E7" w:rsidRDefault="00000000">
      <w:r>
        <w:rPr>
          <w:rFonts w:hint="eastAsia"/>
        </w:rPr>
        <w:t>Two primary raters and one reserve rater participated in calibration.</w:t>
      </w:r>
    </w:p>
    <w:p w14:paraId="11C9E2B7" w14:textId="77777777" w:rsidR="00A303E7" w:rsidRDefault="00A303E7"/>
    <w:p w14:paraId="1D5790EF" w14:textId="77777777" w:rsidR="00A303E7" w:rsidRDefault="00000000">
      <w:r>
        <w:rPr>
          <w:rFonts w:hint="eastAsia"/>
        </w:rPr>
        <w:t>Calibration set</w:t>
      </w:r>
    </w:p>
    <w:p w14:paraId="5E9AABEB" w14:textId="77777777" w:rsidR="00A303E7" w:rsidRDefault="00A303E7"/>
    <w:p w14:paraId="4B08D5FF" w14:textId="77777777" w:rsidR="00A303E7" w:rsidRDefault="00000000">
      <w:r>
        <w:rPr>
          <w:rFonts w:hint="eastAsia"/>
        </w:rPr>
        <w:t>12 oral discourse completion task responses and 6 role-play recordings balanced across timepoints and condition codes.</w:t>
      </w:r>
    </w:p>
    <w:p w14:paraId="6094C803" w14:textId="77777777" w:rsidR="00A303E7" w:rsidRDefault="00A303E7"/>
    <w:p w14:paraId="4EEAC3EF" w14:textId="77777777" w:rsidR="00A303E7" w:rsidRDefault="00000000">
      <w:r>
        <w:rPr>
          <w:rFonts w:hint="eastAsia"/>
        </w:rPr>
        <w:t>Procedure</w:t>
      </w:r>
    </w:p>
    <w:p w14:paraId="525AF106" w14:textId="77777777" w:rsidR="00A303E7" w:rsidRDefault="00A303E7"/>
    <w:p w14:paraId="610D614D" w14:textId="77777777" w:rsidR="00A303E7" w:rsidRDefault="00000000">
      <w:r>
        <w:rPr>
          <w:rFonts w:hint="eastAsia"/>
        </w:rPr>
        <w:t>Raters first reviewed the rubric definitions and anchor responses. They then scored the calibration set independently. Inter-rater agreement was calculated using ICC(</w:t>
      </w:r>
      <w:proofErr w:type="gramStart"/>
      <w:r>
        <w:rPr>
          <w:rFonts w:hint="eastAsia"/>
        </w:rPr>
        <w:t>2,k</w:t>
      </w:r>
      <w:proofErr w:type="gramEnd"/>
      <w:r>
        <w:rPr>
          <w:rFonts w:hint="eastAsia"/>
        </w:rPr>
        <w:t>). Calibration continued until ICC reached at least 0.75.</w:t>
      </w:r>
    </w:p>
    <w:p w14:paraId="3D87A2EE" w14:textId="77777777" w:rsidR="00A303E7" w:rsidRDefault="00A303E7"/>
    <w:p w14:paraId="3956896F" w14:textId="77777777" w:rsidR="00A303E7" w:rsidRDefault="00000000">
      <w:r>
        <w:rPr>
          <w:rFonts w:hint="eastAsia"/>
        </w:rPr>
        <w:t>Formal scoring rule</w:t>
      </w:r>
    </w:p>
    <w:p w14:paraId="2B15DC01" w14:textId="77777777" w:rsidR="00A303E7" w:rsidRDefault="00A303E7"/>
    <w:p w14:paraId="3D9C7540" w14:textId="77777777" w:rsidR="00A303E7" w:rsidRDefault="00000000">
      <w:r>
        <w:rPr>
          <w:rFonts w:hint="eastAsia"/>
        </w:rPr>
        <w:t>Formal scoring did not begin until the threshold had been achieved and documented.</w:t>
      </w:r>
    </w:p>
    <w:p w14:paraId="2E4E7F42" w14:textId="77777777" w:rsidR="00A303E7" w:rsidRDefault="00A303E7"/>
    <w:p w14:paraId="598E4518" w14:textId="77777777" w:rsidR="00A303E7" w:rsidRDefault="00000000">
      <w:r>
        <w:rPr>
          <w:rFonts w:hint="eastAsia"/>
        </w:rPr>
        <w:t>Transcription Conventions</w:t>
      </w:r>
    </w:p>
    <w:p w14:paraId="2F0B8AB7" w14:textId="77777777" w:rsidR="00A303E7" w:rsidRDefault="00A303E7"/>
    <w:p w14:paraId="6C38793F" w14:textId="77777777" w:rsidR="00A303E7" w:rsidRDefault="00000000">
      <w:r>
        <w:rPr>
          <w:rFonts w:hint="eastAsia"/>
        </w:rPr>
        <w:t>Role-play recordings were transcribed using ELAN and exported as UTF-8 tab-delimited files.</w:t>
      </w:r>
    </w:p>
    <w:p w14:paraId="738DB647" w14:textId="77777777" w:rsidR="00A303E7" w:rsidRDefault="00A303E7"/>
    <w:p w14:paraId="17B5B242" w14:textId="77777777" w:rsidR="00A303E7" w:rsidRDefault="00000000">
      <w:r>
        <w:rPr>
          <w:rFonts w:hint="eastAsia"/>
        </w:rPr>
        <w:t>Core conventions</w:t>
      </w:r>
    </w:p>
    <w:p w14:paraId="2243EB48" w14:textId="77777777" w:rsidR="00A303E7" w:rsidRDefault="00A303E7"/>
    <w:p w14:paraId="18B9F29C" w14:textId="77777777" w:rsidR="00A303E7" w:rsidRDefault="00000000">
      <w:r>
        <w:rPr>
          <w:rFonts w:hint="eastAsia"/>
        </w:rPr>
        <w:t>Filled pauses were retained. Immediate repetitions were retained unless clearly abandoned before completion. False starts were retained when they contributed to the interactional flow. Long pauses were not transcribed in the running text but were captured acoustically.</w:t>
      </w:r>
    </w:p>
    <w:p w14:paraId="1FD90731" w14:textId="77777777" w:rsidR="00A303E7" w:rsidRDefault="00A303E7"/>
    <w:p w14:paraId="5A1EEDFE" w14:textId="77777777" w:rsidR="00A303E7" w:rsidRDefault="00000000">
      <w:r>
        <w:rPr>
          <w:rFonts w:hint="eastAsia"/>
        </w:rPr>
        <w:t>Speaker identification</w:t>
      </w:r>
    </w:p>
    <w:p w14:paraId="152AC2F4" w14:textId="77777777" w:rsidR="00A303E7" w:rsidRDefault="00A303E7"/>
    <w:p w14:paraId="04CF8173" w14:textId="77777777" w:rsidR="00A303E7" w:rsidRDefault="00000000">
      <w:r>
        <w:rPr>
          <w:rFonts w:hint="eastAsia"/>
        </w:rPr>
        <w:t>Each speaker turn was labeled consistently by role within the same file.</w:t>
      </w:r>
    </w:p>
    <w:p w14:paraId="7430C4DF" w14:textId="77777777" w:rsidR="00A303E7" w:rsidRDefault="00A303E7"/>
    <w:p w14:paraId="707D3F37" w14:textId="77777777" w:rsidR="00A303E7" w:rsidRDefault="00000000">
      <w:r>
        <w:rPr>
          <w:rFonts w:hint="eastAsia"/>
        </w:rPr>
        <w:t>Non-verbal events</w:t>
      </w:r>
    </w:p>
    <w:p w14:paraId="234843E8" w14:textId="77777777" w:rsidR="00A303E7" w:rsidRDefault="00A303E7"/>
    <w:p w14:paraId="1AE21DAE" w14:textId="77777777" w:rsidR="00A303E7" w:rsidRDefault="00000000">
      <w:r>
        <w:rPr>
          <w:rFonts w:hint="eastAsia"/>
        </w:rPr>
        <w:t>Relevant non-verbal interactional events that affected turn interpretation were noted in brackets.</w:t>
      </w:r>
    </w:p>
    <w:p w14:paraId="559989A0" w14:textId="77777777" w:rsidR="00A303E7" w:rsidRDefault="00A303E7"/>
    <w:p w14:paraId="35A5B457" w14:textId="77777777" w:rsidR="00A303E7" w:rsidRDefault="00000000">
      <w:r>
        <w:rPr>
          <w:rFonts w:hint="eastAsia"/>
        </w:rPr>
        <w:t>T-Unit and Clause Segmentation Rules</w:t>
      </w:r>
    </w:p>
    <w:p w14:paraId="5907A553" w14:textId="77777777" w:rsidR="00A303E7" w:rsidRDefault="00A303E7"/>
    <w:p w14:paraId="3E2BE337" w14:textId="77777777" w:rsidR="00A303E7" w:rsidRDefault="00000000">
      <w:r>
        <w:rPr>
          <w:rFonts w:hint="eastAsia"/>
        </w:rPr>
        <w:lastRenderedPageBreak/>
        <w:t>T-unit definition</w:t>
      </w:r>
    </w:p>
    <w:p w14:paraId="1E5A4D73" w14:textId="77777777" w:rsidR="00A303E7" w:rsidRDefault="00A303E7"/>
    <w:p w14:paraId="42ACD9AB" w14:textId="77777777" w:rsidR="00A303E7" w:rsidRDefault="00000000">
      <w:r>
        <w:rPr>
          <w:rFonts w:hint="eastAsia"/>
        </w:rPr>
        <w:t>A T-unit was defined as one independent clause together with any dependent clause attached to it.</w:t>
      </w:r>
    </w:p>
    <w:p w14:paraId="18419F98" w14:textId="77777777" w:rsidR="00A303E7" w:rsidRDefault="00A303E7"/>
    <w:p w14:paraId="0D6B912E" w14:textId="77777777" w:rsidR="00A303E7" w:rsidRDefault="00000000">
      <w:r>
        <w:rPr>
          <w:rFonts w:hint="eastAsia"/>
        </w:rPr>
        <w:t>Clause definition</w:t>
      </w:r>
    </w:p>
    <w:p w14:paraId="6835989D" w14:textId="77777777" w:rsidR="00A303E7" w:rsidRDefault="00A303E7"/>
    <w:p w14:paraId="2DBC8E15" w14:textId="77777777" w:rsidR="00A303E7" w:rsidRDefault="00000000">
      <w:r>
        <w:rPr>
          <w:rFonts w:hint="eastAsia"/>
        </w:rPr>
        <w:t>A clause was counted when it contained a predicate structure expressing a proposition.</w:t>
      </w:r>
    </w:p>
    <w:p w14:paraId="392C2CF6" w14:textId="77777777" w:rsidR="00A303E7" w:rsidRDefault="00A303E7"/>
    <w:p w14:paraId="19BA2FB3" w14:textId="77777777" w:rsidR="00A303E7" w:rsidRDefault="00000000">
      <w:r>
        <w:rPr>
          <w:rFonts w:hint="eastAsia"/>
        </w:rPr>
        <w:t>Segmentation rule</w:t>
      </w:r>
    </w:p>
    <w:p w14:paraId="4DE7A345" w14:textId="77777777" w:rsidR="00A303E7" w:rsidRDefault="00A303E7"/>
    <w:p w14:paraId="7A3B3121" w14:textId="77777777" w:rsidR="00A303E7" w:rsidRDefault="00000000">
      <w:r>
        <w:rPr>
          <w:rFonts w:hint="eastAsia"/>
        </w:rPr>
        <w:t>Elliptical fragments were not counted as full clauses unless they functioned as a complete pragmatic act in context and contained recoverable predication.</w:t>
      </w:r>
    </w:p>
    <w:p w14:paraId="4246C94C" w14:textId="77777777" w:rsidR="00A303E7" w:rsidRDefault="00A303E7"/>
    <w:p w14:paraId="13A8A30C" w14:textId="77777777" w:rsidR="00A303E7" w:rsidRDefault="00000000">
      <w:r>
        <w:rPr>
          <w:rFonts w:hint="eastAsia"/>
        </w:rPr>
        <w:t>Morpho-Syntactic Error Taxonomy</w:t>
      </w:r>
    </w:p>
    <w:p w14:paraId="71604DAB" w14:textId="77777777" w:rsidR="00A303E7" w:rsidRDefault="00A303E7"/>
    <w:p w14:paraId="16C13948" w14:textId="77777777" w:rsidR="00A303E7" w:rsidRDefault="00000000">
      <w:r>
        <w:rPr>
          <w:rFonts w:hint="eastAsia"/>
        </w:rPr>
        <w:t>Errors were coded at the T-unit level. A T-unit was counted as containing an error if at least one morpho-syntactic error was present.</w:t>
      </w:r>
    </w:p>
    <w:p w14:paraId="59A906F0" w14:textId="77777777" w:rsidR="00A303E7" w:rsidRDefault="00A303E7"/>
    <w:p w14:paraId="0AED42D3" w14:textId="77777777" w:rsidR="00A303E7" w:rsidRDefault="00000000">
      <w:r>
        <w:rPr>
          <w:rFonts w:hint="eastAsia"/>
        </w:rPr>
        <w:t>Included categories</w:t>
      </w:r>
    </w:p>
    <w:p w14:paraId="3068D278" w14:textId="77777777" w:rsidR="00A303E7" w:rsidRDefault="00000000">
      <w:r>
        <w:rPr>
          <w:rFonts w:hint="eastAsia"/>
        </w:rPr>
        <w:t>•</w:t>
      </w:r>
      <w:r>
        <w:rPr>
          <w:rFonts w:hint="eastAsia"/>
        </w:rPr>
        <w:tab/>
        <w:t>Word order errors</w:t>
      </w:r>
    </w:p>
    <w:p w14:paraId="77F05112" w14:textId="77777777" w:rsidR="00A303E7" w:rsidRDefault="00000000">
      <w:r>
        <w:rPr>
          <w:rFonts w:hint="eastAsia"/>
        </w:rPr>
        <w:t>•</w:t>
      </w:r>
      <w:r>
        <w:rPr>
          <w:rFonts w:hint="eastAsia"/>
        </w:rPr>
        <w:tab/>
        <w:t>Function word misuse</w:t>
      </w:r>
    </w:p>
    <w:p w14:paraId="7FFE1E31" w14:textId="77777777" w:rsidR="00A303E7" w:rsidRDefault="00000000">
      <w:r>
        <w:rPr>
          <w:rFonts w:hint="eastAsia"/>
        </w:rPr>
        <w:t>•</w:t>
      </w:r>
      <w:r>
        <w:rPr>
          <w:rFonts w:hint="eastAsia"/>
        </w:rPr>
        <w:tab/>
        <w:t>Aspect or tense misuse where relevant to the target construction</w:t>
      </w:r>
    </w:p>
    <w:p w14:paraId="0C158C8C" w14:textId="77777777" w:rsidR="00A303E7" w:rsidRDefault="00000000">
      <w:r>
        <w:rPr>
          <w:rFonts w:hint="eastAsia"/>
        </w:rPr>
        <w:t>•</w:t>
      </w:r>
      <w:r>
        <w:rPr>
          <w:rFonts w:hint="eastAsia"/>
        </w:rPr>
        <w:tab/>
        <w:t>Classifier misuse</w:t>
      </w:r>
    </w:p>
    <w:p w14:paraId="7A23D91F" w14:textId="77777777" w:rsidR="00A303E7" w:rsidRDefault="00000000">
      <w:r>
        <w:rPr>
          <w:rFonts w:hint="eastAsia"/>
        </w:rPr>
        <w:t>•</w:t>
      </w:r>
      <w:r>
        <w:rPr>
          <w:rFonts w:hint="eastAsia"/>
        </w:rPr>
        <w:tab/>
        <w:t>Preposition misuse</w:t>
      </w:r>
    </w:p>
    <w:p w14:paraId="1E7588CF" w14:textId="77777777" w:rsidR="00A303E7" w:rsidRDefault="00000000">
      <w:r>
        <w:rPr>
          <w:rFonts w:hint="eastAsia"/>
        </w:rPr>
        <w:t>•</w:t>
      </w:r>
      <w:r>
        <w:rPr>
          <w:rFonts w:hint="eastAsia"/>
        </w:rPr>
        <w:tab/>
        <w:t>Incomplete sentence structure affecting grammatical interpretation</w:t>
      </w:r>
    </w:p>
    <w:p w14:paraId="00955935" w14:textId="77777777" w:rsidR="00A303E7" w:rsidRDefault="00A303E7"/>
    <w:p w14:paraId="4D1E1EF9" w14:textId="77777777" w:rsidR="00A303E7" w:rsidRDefault="00000000">
      <w:r>
        <w:rPr>
          <w:rFonts w:hint="eastAsia"/>
        </w:rPr>
        <w:t>Excluded categories</w:t>
      </w:r>
    </w:p>
    <w:p w14:paraId="43C6616E" w14:textId="77777777" w:rsidR="00A303E7" w:rsidRDefault="00000000">
      <w:r>
        <w:rPr>
          <w:rFonts w:hint="eastAsia"/>
        </w:rPr>
        <w:tab/>
      </w:r>
      <w:r>
        <w:rPr>
          <w:rFonts w:hint="eastAsia"/>
        </w:rPr>
        <w:t>•</w:t>
      </w:r>
      <w:r>
        <w:rPr>
          <w:rFonts w:hint="eastAsia"/>
        </w:rPr>
        <w:tab/>
        <w:t>Pronunciation issues</w:t>
      </w:r>
    </w:p>
    <w:p w14:paraId="6F54F97C" w14:textId="77777777" w:rsidR="00A303E7" w:rsidRDefault="00000000">
      <w:r>
        <w:rPr>
          <w:rFonts w:hint="eastAsia"/>
        </w:rPr>
        <w:tab/>
      </w:r>
      <w:r>
        <w:rPr>
          <w:rFonts w:hint="eastAsia"/>
        </w:rPr>
        <w:t>•</w:t>
      </w:r>
      <w:r>
        <w:rPr>
          <w:rFonts w:hint="eastAsia"/>
        </w:rPr>
        <w:tab/>
        <w:t>Pure hesitation without grammatical breakdown</w:t>
      </w:r>
    </w:p>
    <w:p w14:paraId="397A3B9C" w14:textId="77777777" w:rsidR="00A303E7" w:rsidRDefault="00000000">
      <w:r>
        <w:rPr>
          <w:rFonts w:hint="eastAsia"/>
        </w:rPr>
        <w:tab/>
      </w:r>
      <w:r>
        <w:rPr>
          <w:rFonts w:hint="eastAsia"/>
        </w:rPr>
        <w:t>•</w:t>
      </w:r>
      <w:r>
        <w:rPr>
          <w:rFonts w:hint="eastAsia"/>
        </w:rPr>
        <w:tab/>
        <w:t>Lexical choice problems that did not affect morpho-syntactic well-formedness</w:t>
      </w:r>
    </w:p>
    <w:p w14:paraId="0819FEAA" w14:textId="77777777" w:rsidR="00A303E7" w:rsidRDefault="00A303E7"/>
    <w:sectPr w:rsidR="00A303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D685BB1"/>
    <w:rsid w:val="00092A20"/>
    <w:rsid w:val="003E330D"/>
    <w:rsid w:val="003F5E0C"/>
    <w:rsid w:val="00A303E7"/>
    <w:rsid w:val="4D68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7E77B9-5D73-4094-B064-7DD22B85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743</Words>
  <Characters>4239</Characters>
  <Application>Microsoft Office Word</Application>
  <DocSecurity>0</DocSecurity>
  <Lines>35</Lines>
  <Paragraphs>9</Paragraphs>
  <ScaleCrop>false</ScaleCrop>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Vaishali Paul</cp:lastModifiedBy>
  <cp:revision>3</cp:revision>
  <dcterms:created xsi:type="dcterms:W3CDTF">2026-04-28T10:41:00Z</dcterms:created>
  <dcterms:modified xsi:type="dcterms:W3CDTF">2026-04-28T10:42:00Z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3ABFB0851D774FB386FE203BF1746290_11</vt:lpwstr>
  </property>
  <property fmtid="{D5CDD505-2E9C-101B-9397-08002B2CF9AE}" pid="4" name="KSOTemplateDocerSaveRecord">
    <vt:lpwstr>eyJoZGlkIjoiZTA4OGY3ZDc1OGUwNTZlOGNiYmZlNzE5ODgzZTc4ZTciLCJ1c2VySWQiOiI1Mzc4NTY0MDgifQ==</vt:lpwstr>
  </property>
  <property fmtid="{D5CDD505-2E9C-101B-9397-08002B2CF9AE}" pid="5" name="GrammarlyDocumentId">
    <vt:lpwstr>d428a9f5-8d0e-43b5-b3f8-a9189473d793</vt:lpwstr>
  </property>
</Properties>
</file>